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449</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庞金勇</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4408</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1050</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广东省廉江市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133</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8340</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6CE0E5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08月 11日 00时 40分，玉林市交通运输局执法人员梁廷中,牟静（执法证号分别为 45091140,45091146）经行政检查,在 G241线+K3315右侧发现，庞金勇驾驶廉江市石城庞金勇货物运输户所属粤 GU3522车辆违法超限运输行驶公路。该车辆主车车型为重型自卸货车，品牌型号为王牌牌，车轴和车轮情况：3轴 8轮，运输货物为水泥，从北流运往廉江。属可解体物品，经检测,该车车货总重 34.37吨，根据《超限运输车辆行驶公路管理规定》该车型车货总重限值 25吨，超出限值 9.37吨，超限率 37.48%。当事人的行为构成违法超限运输行驶公路，违法程度为情节较轻及以上。</w:t>
      </w:r>
    </w:p>
    <w:p w14:paraId="27F0EB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二、证据。上述违法事实有现场笔录、勘验笔录、询问笔录、现场照片、道路运输证复制件、从业资格证复制件、称重检测单、行驶证复制件、当事人身份证复制件证明。</w:t>
      </w:r>
    </w:p>
    <w:p w14:paraId="55D5F0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56B8E3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7CEAEC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肆仟伍佰元整（¥4500）的处罚决定。</w:t>
      </w:r>
    </w:p>
    <w:p w14:paraId="5D7568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77117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550C8C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08月 11日</w:t>
      </w:r>
    </w:p>
    <w:p w14:paraId="6BB4AB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ADB0A82"/>
    <w:rsid w:val="1AFC685F"/>
    <w:rsid w:val="1B65095C"/>
    <w:rsid w:val="1BE50906"/>
    <w:rsid w:val="1D577918"/>
    <w:rsid w:val="21BA6164"/>
    <w:rsid w:val="299A22A0"/>
    <w:rsid w:val="2DAE4BCF"/>
    <w:rsid w:val="30926AEF"/>
    <w:rsid w:val="3D3C6796"/>
    <w:rsid w:val="4A512537"/>
    <w:rsid w:val="4D5D0666"/>
    <w:rsid w:val="51136310"/>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2</Pages>
  <Words>941</Words>
  <Characters>1054</Characters>
  <Lines>9</Lines>
  <Paragraphs>2</Paragraphs>
  <TotalTime>66</TotalTime>
  <ScaleCrop>false</ScaleCrop>
  <LinksUpToDate>false</LinksUpToDate>
  <CharactersWithSpaces>1094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2025-08-12T00:50:10Z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